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6EBC" w14:textId="77777777" w:rsidR="00FE41C5" w:rsidRDefault="00000000">
      <w:pPr>
        <w:spacing w:after="120"/>
        <w:jc w:val="center"/>
      </w:pPr>
      <w:r>
        <w:rPr>
          <w:rFonts w:ascii="Arial" w:eastAsia="Arial" w:hAnsi="Arial" w:cs="Arial"/>
          <w:b/>
          <w:bCs/>
          <w:color w:val="1F3864"/>
          <w:sz w:val="44"/>
          <w:szCs w:val="44"/>
        </w:rPr>
        <w:t>Decision Rights Mapping Worksheet</w:t>
      </w:r>
    </w:p>
    <w:p w14:paraId="0B45CD32" w14:textId="77777777" w:rsidR="00FE41C5" w:rsidRDefault="00000000">
      <w:pPr>
        <w:spacing w:after="400"/>
        <w:jc w:val="center"/>
      </w:pPr>
      <w:r>
        <w:rPr>
          <w:rFonts w:ascii="Arial" w:eastAsia="Arial" w:hAnsi="Arial" w:cs="Arial"/>
          <w:i/>
          <w:iCs/>
          <w:color w:val="888888"/>
          <w:sz w:val="24"/>
          <w:szCs w:val="24"/>
        </w:rPr>
        <w:t>A practical worksheet to clarify who decides, who advises, and who needs to know.</w:t>
      </w:r>
    </w:p>
    <w:p w14:paraId="0FDDBD6A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How to use this worksheet</w:t>
      </w:r>
    </w:p>
    <w:p w14:paraId="48B84DD9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Use this worksheet for decisions tied to growth, risk, people, money, customers, AI, or strategy. Not every small decision needs a formal map. The goal is to make the path visible before the work gets stuck.</w:t>
      </w:r>
    </w:p>
    <w:p w14:paraId="618F5592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Assign one right per role. If a role plays two parts, use two rows.</w:t>
      </w:r>
    </w:p>
    <w:p w14:paraId="52D2B6C7" w14:textId="77777777" w:rsidR="00FE41C5" w:rsidRDefault="00FE41C5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E41C5" w14:paraId="30E38C49" w14:textId="77777777">
        <w:tc>
          <w:tcPr>
            <w:tcW w:w="9360" w:type="dxa"/>
            <w:tcBorders>
              <w:top w:val="single" w:sz="4" w:space="0" w:color="1F3864"/>
              <w:left w:val="single" w:sz="14" w:space="0" w:color="1F3864"/>
              <w:bottom w:val="single" w:sz="4" w:space="0" w:color="1F3864"/>
              <w:right w:val="none" w:sz="0" w:space="0" w:color="FFFFFF"/>
            </w:tcBorders>
            <w:shd w:val="clear" w:color="auto" w:fill="EBF0F8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B64A2DF" w14:textId="77777777" w:rsidR="00C8466D" w:rsidRDefault="00000000">
            <w:pPr>
              <w:rPr>
                <w:rFonts w:ascii="Arial" w:eastAsia="Arial" w:hAnsi="Arial" w:cs="Arial"/>
                <w:b/>
                <w:bCs/>
                <w:color w:val="1F3864"/>
              </w:rPr>
            </w:pPr>
            <w:r>
              <w:rPr>
                <w:rFonts w:ascii="Arial" w:eastAsia="Arial" w:hAnsi="Arial" w:cs="Arial"/>
                <w:b/>
                <w:bCs/>
                <w:color w:val="1F3864"/>
              </w:rPr>
              <w:t xml:space="preserve">RADAR connection </w:t>
            </w:r>
          </w:p>
          <w:p w14:paraId="78BAC9FB" w14:textId="3EC93016" w:rsidR="00FE41C5" w:rsidRDefault="00000000">
            <w:r>
              <w:rPr>
                <w:rFonts w:ascii="Arial" w:eastAsia="Arial" w:hAnsi="Arial" w:cs="Arial"/>
                <w:color w:val="404040"/>
              </w:rPr>
              <w:t>In the RADAR framework, this sits inside Decision Rights: who decides, who advises, who needs to know, and how decisions move through the business.</w:t>
            </w:r>
          </w:p>
        </w:tc>
      </w:tr>
    </w:tbl>
    <w:p w14:paraId="248987CA" w14:textId="77777777" w:rsidR="00FE41C5" w:rsidRDefault="00FE41C5">
      <w:pPr>
        <w:spacing w:after="200"/>
      </w:pPr>
    </w:p>
    <w:p w14:paraId="4B2B1DDC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Step 1: Define the decision</w:t>
      </w:r>
    </w:p>
    <w:p w14:paraId="502553B8" w14:textId="77777777" w:rsidR="00FE41C5" w:rsidRDefault="00000000">
      <w:pPr>
        <w:spacing w:after="20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Decision: </w:t>
      </w:r>
      <w:r>
        <w:rPr>
          <w:rFonts w:ascii="Arial" w:eastAsia="Arial" w:hAnsi="Arial" w:cs="Arial"/>
          <w:color w:val="CCCCCC"/>
          <w:sz w:val="22"/>
          <w:szCs w:val="22"/>
        </w:rPr>
        <w:t>________________________________________________________________________</w:t>
      </w:r>
    </w:p>
    <w:p w14:paraId="430988AB" w14:textId="77777777" w:rsidR="00FE41C5" w:rsidRDefault="00000000">
      <w:pPr>
        <w:spacing w:after="120"/>
      </w:pPr>
      <w:r>
        <w:rPr>
          <w:rFonts w:ascii="Arial" w:hAnsi="Arial" w:cs="Arial"/>
          <w:b/>
          <w:color w:val="404040"/>
          <w:sz w:val="22"/>
          <w:szCs w:val="22"/>
        </w:rPr>
        <w:t xml:space="preserve">Decision type:  </w:t>
      </w:r>
      <w:sdt>
        <w:sdtPr>
          <w:alias w:val="Decision Type"/>
          <w:tag w:val="decisionType"/>
          <w:id w:val="-1267620285"/>
          <w:comboBox>
            <w:listItem w:displayText="Strategic" w:value="Strategic"/>
            <w:listItem w:displayText="Financial" w:value="Financial"/>
            <w:listItem w:displayText="Operational" w:value="Operational"/>
            <w:listItem w:displayText="People" w:value="People"/>
            <w:listItem w:displayText="Customer" w:value="Customer"/>
            <w:listItem w:displayText="Risk" w:value="Risk"/>
            <w:listItem w:displayText="Compliance" w:value="Compliance"/>
            <w:listItem w:displayText="AI / Technology" w:value="AI / Technology"/>
            <w:listItem w:displayText="Other" w:value="Other"/>
          </w:comboBox>
        </w:sdtPr>
        <w:sdtContent>
          <w:r>
            <w:rPr>
              <w:rFonts w:ascii="Arial" w:hAnsi="Arial" w:cs="Arial"/>
              <w:color w:val="888888"/>
              <w:sz w:val="22"/>
              <w:szCs w:val="22"/>
            </w:rPr>
            <w:t>Select or type (e.g. Strategic / AI / Risk)</w:t>
          </w:r>
        </w:sdtContent>
      </w:sdt>
    </w:p>
    <w:p w14:paraId="776DDAE3" w14:textId="77777777" w:rsidR="00C8466D" w:rsidRPr="00C8466D" w:rsidRDefault="00C8466D">
      <w:pPr>
        <w:spacing w:after="200"/>
        <w:rPr>
          <w:rFonts w:ascii="Arial" w:eastAsia="Arial" w:hAnsi="Arial" w:cs="Arial"/>
          <w:b/>
          <w:bCs/>
          <w:color w:val="404040"/>
        </w:rPr>
      </w:pPr>
    </w:p>
    <w:p w14:paraId="5FCCE541" w14:textId="4746851F" w:rsidR="00FE41C5" w:rsidRDefault="00000000">
      <w:pPr>
        <w:spacing w:after="20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Context: </w:t>
      </w:r>
      <w:r>
        <w:rPr>
          <w:rFonts w:ascii="Arial" w:eastAsia="Arial" w:hAnsi="Arial" w:cs="Arial"/>
          <w:color w:val="CCCCCC"/>
          <w:sz w:val="22"/>
          <w:szCs w:val="22"/>
        </w:rPr>
        <w:t>________________________________________________________________________</w:t>
      </w:r>
    </w:p>
    <w:p w14:paraId="5283E659" w14:textId="77777777" w:rsidR="00FE41C5" w:rsidRDefault="00000000">
      <w:pPr>
        <w:spacing w:after="20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Timing: </w:t>
      </w:r>
      <w:r>
        <w:rPr>
          <w:rFonts w:ascii="Arial" w:eastAsia="Arial" w:hAnsi="Arial" w:cs="Arial"/>
          <w:color w:val="CCCCCC"/>
          <w:sz w:val="22"/>
          <w:szCs w:val="22"/>
        </w:rPr>
        <w:t>________________________________________________________________________</w:t>
      </w:r>
    </w:p>
    <w:p w14:paraId="2928C837" w14:textId="77777777" w:rsidR="00FE41C5" w:rsidRDefault="00000000">
      <w:pPr>
        <w:spacing w:after="20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Escalation trigger: </w:t>
      </w:r>
      <w:r>
        <w:rPr>
          <w:rFonts w:ascii="Arial" w:eastAsia="Arial" w:hAnsi="Arial" w:cs="Arial"/>
          <w:color w:val="CCCCCC"/>
          <w:sz w:val="22"/>
          <w:szCs w:val="22"/>
        </w:rPr>
        <w:t>________________________________________________________________________</w:t>
      </w:r>
    </w:p>
    <w:p w14:paraId="1C959E54" w14:textId="77777777" w:rsidR="00FE41C5" w:rsidRDefault="00000000">
      <w:pPr>
        <w:spacing w:after="20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Communication method: </w:t>
      </w:r>
      <w:r>
        <w:rPr>
          <w:rFonts w:ascii="Arial" w:eastAsia="Arial" w:hAnsi="Arial" w:cs="Arial"/>
          <w:color w:val="CCCCCC"/>
          <w:sz w:val="22"/>
          <w:szCs w:val="22"/>
        </w:rPr>
        <w:t>________________________________________________________________________</w:t>
      </w:r>
    </w:p>
    <w:p w14:paraId="00C14DA2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Step 2: Map the roles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990"/>
        <w:gridCol w:w="990"/>
        <w:gridCol w:w="991"/>
        <w:gridCol w:w="3690"/>
      </w:tblGrid>
      <w:tr w:rsidR="00FE41C5" w14:paraId="4743A3EF" w14:textId="77777777" w:rsidTr="003246E7">
        <w:trPr>
          <w:tblHeader/>
        </w:trPr>
        <w:tc>
          <w:tcPr>
            <w:tcW w:w="2699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C0011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Role / Function</w:t>
            </w:r>
          </w:p>
        </w:tc>
        <w:tc>
          <w:tcPr>
            <w:tcW w:w="99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2B5934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Decides</w:t>
            </w:r>
          </w:p>
        </w:tc>
        <w:tc>
          <w:tcPr>
            <w:tcW w:w="99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509FABE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Advises</w:t>
            </w:r>
          </w:p>
        </w:tc>
        <w:tc>
          <w:tcPr>
            <w:tcW w:w="991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AE51AE6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Informed</w:t>
            </w:r>
          </w:p>
        </w:tc>
        <w:tc>
          <w:tcPr>
            <w:tcW w:w="369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5B529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FE41C5" w14:paraId="2DB54E96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F4F0F4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CC850D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191758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9A159B8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BBE03" w14:textId="77777777" w:rsidR="00FE41C5" w:rsidRDefault="00FE41C5"/>
        </w:tc>
      </w:tr>
      <w:tr w:rsidR="00FE41C5" w14:paraId="50DBF887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48DA3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0A6216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619E7D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09F99B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95AC5" w14:textId="77777777" w:rsidR="00FE41C5" w:rsidRDefault="00FE41C5"/>
        </w:tc>
      </w:tr>
      <w:tr w:rsidR="00FE41C5" w14:paraId="2B940820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A3F64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BEABD4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D2CF50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680E19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1AD59" w14:textId="77777777" w:rsidR="00FE41C5" w:rsidRDefault="00FE41C5"/>
        </w:tc>
      </w:tr>
      <w:tr w:rsidR="00FE41C5" w14:paraId="4D752B61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87077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CF71F5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53669F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94B874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751A0C" w14:textId="77777777" w:rsidR="00FE41C5" w:rsidRDefault="00FE41C5"/>
        </w:tc>
      </w:tr>
      <w:tr w:rsidR="00FE41C5" w14:paraId="2B2DDCA4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E0D18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1917ED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6B7C080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60F3CD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5B858" w14:textId="77777777" w:rsidR="00FE41C5" w:rsidRDefault="00FE41C5"/>
        </w:tc>
      </w:tr>
      <w:tr w:rsidR="00FE41C5" w14:paraId="155BB715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653CD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B79993D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F8BB16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2E137C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E4362" w14:textId="77777777" w:rsidR="00FE41C5" w:rsidRDefault="00FE41C5"/>
        </w:tc>
      </w:tr>
      <w:tr w:rsidR="00FE41C5" w14:paraId="1D00B44E" w14:textId="77777777" w:rsidTr="003246E7">
        <w:trPr>
          <w:trHeight w:val="440"/>
        </w:trPr>
        <w:tc>
          <w:tcPr>
            <w:tcW w:w="26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B681C" w14:textId="77777777" w:rsidR="00FE41C5" w:rsidRDefault="00FE41C5"/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25F5F4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8596E2E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9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E49AB3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69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FA383" w14:textId="77777777" w:rsidR="00FE41C5" w:rsidRDefault="00FE41C5"/>
        </w:tc>
      </w:tr>
    </w:tbl>
    <w:p w14:paraId="3F11D466" w14:textId="77777777" w:rsidR="00FE41C5" w:rsidRDefault="00FE41C5">
      <w:pPr>
        <w:spacing w:after="200"/>
      </w:pPr>
    </w:p>
    <w:p w14:paraId="2A0E3282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Step 3: Test the map</w:t>
      </w:r>
    </w:p>
    <w:p w14:paraId="7DB47CD0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Do we agree who decides?</w:t>
      </w:r>
    </w:p>
    <w:p w14:paraId="102544BB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Is the right advice being gathered before the decision?</w:t>
      </w:r>
    </w:p>
    <w:p w14:paraId="00CA7581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Who needs to know once the decision is made?</w:t>
      </w:r>
    </w:p>
    <w:p w14:paraId="720A98D9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Where could this still get stuck?</w:t>
      </w:r>
    </w:p>
    <w:p w14:paraId="1B96A583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What would trigger escalation?</w:t>
      </w:r>
    </w:p>
    <w:p w14:paraId="3ECF887C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Role legend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000"/>
        <w:gridCol w:w="4360"/>
      </w:tblGrid>
      <w:tr w:rsidR="00FE41C5" w14:paraId="067A1A50" w14:textId="77777777">
        <w:trPr>
          <w:tblHeader/>
        </w:trPr>
        <w:tc>
          <w:tcPr>
            <w:tcW w:w="20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3DE61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Role</w:t>
            </w:r>
          </w:p>
        </w:tc>
        <w:tc>
          <w:tcPr>
            <w:tcW w:w="30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70735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Function</w:t>
            </w:r>
          </w:p>
        </w:tc>
        <w:tc>
          <w:tcPr>
            <w:tcW w:w="436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C392D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Question</w:t>
            </w:r>
          </w:p>
        </w:tc>
      </w:tr>
      <w:tr w:rsidR="00FE41C5" w14:paraId="48A06756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5033ED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404040"/>
              </w:rPr>
              <w:t>Decides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E4BBCD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Owns the final call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583DD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Who is accountable for the outcome?</w:t>
            </w:r>
          </w:p>
        </w:tc>
      </w:tr>
      <w:tr w:rsidR="00FE41C5" w14:paraId="39604EE3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A934F8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404040"/>
              </w:rPr>
              <w:t>Advises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61E90F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Provides input before the decision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6AB8E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Whose expertise changes the quality of the call?</w:t>
            </w:r>
          </w:p>
        </w:tc>
      </w:tr>
      <w:tr w:rsidR="00FE41C5" w14:paraId="2D3720E7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F2E4F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404040"/>
              </w:rPr>
              <w:t>Informed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0705B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Receives the decision after it is made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31CDD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Who needs to act or adjust?</w:t>
            </w:r>
          </w:p>
        </w:tc>
      </w:tr>
    </w:tbl>
    <w:p w14:paraId="19D7C0B4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Escalation trigger checklist</w:t>
      </w:r>
    </w:p>
    <w:p w14:paraId="05087783" w14:textId="675F7D74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Spend exceeds an agreed threshold.</w:t>
      </w:r>
    </w:p>
    <w:p w14:paraId="30DD7FF5" w14:textId="5E31C313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Customer, employee, or financial data is involved.</w:t>
      </w:r>
    </w:p>
    <w:p w14:paraId="3C82A9A7" w14:textId="4F029291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Legal, compliance, or security review is required.</w:t>
      </w:r>
    </w:p>
    <w:p w14:paraId="7BB348BA" w14:textId="2B626273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Margin impact exceeds a set threshold.</w:t>
      </w:r>
    </w:p>
    <w:p w14:paraId="27F9F857" w14:textId="01DF06DC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The decision </w:t>
      </w:r>
      <w:r w:rsidR="00266C42">
        <w:rPr>
          <w:rFonts w:ascii="Arial" w:eastAsia="Arial" w:hAnsi="Arial" w:cs="Arial"/>
          <w:color w:val="404040"/>
          <w:sz w:val="22"/>
          <w:szCs w:val="22"/>
        </w:rPr>
        <w:t>a</w:t>
      </w:r>
      <w:r>
        <w:rPr>
          <w:rFonts w:ascii="Arial" w:eastAsia="Arial" w:hAnsi="Arial" w:cs="Arial"/>
          <w:color w:val="404040"/>
          <w:sz w:val="22"/>
          <w:szCs w:val="22"/>
        </w:rPr>
        <w:t>ffects headcount.</w:t>
      </w:r>
    </w:p>
    <w:p w14:paraId="3BB8E351" w14:textId="73FA14C3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The decision changes customer commitments.</w:t>
      </w:r>
    </w:p>
    <w:p w14:paraId="3EF57FBB" w14:textId="00E59515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lastRenderedPageBreak/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The decision affects strategic direction.</w:t>
      </w:r>
    </w:p>
    <w:p w14:paraId="6B31F296" w14:textId="342E0290" w:rsidR="00FE41C5" w:rsidRDefault="00C8466D">
      <w:pPr>
        <w:spacing w:after="100"/>
        <w:ind w:left="360"/>
      </w:pPr>
      <w:r>
        <w:rPr>
          <w:rFonts w:ascii="Segoe UI Symbol" w:eastAsia="Arial" w:hAnsi="Segoe UI Symbol" w:cs="Segoe UI Symbol"/>
          <w:color w:val="404040"/>
          <w:sz w:val="22"/>
          <w:szCs w:val="22"/>
        </w:rPr>
        <w:t>☐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 The decision sets a precedent the business may need to repeat.</w:t>
      </w:r>
    </w:p>
    <w:p w14:paraId="50758FF3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Example 1: AI Tool Approval</w:t>
      </w:r>
    </w:p>
    <w:p w14:paraId="49204DBF" w14:textId="77777777" w:rsidR="00FE41C5" w:rsidRDefault="00000000">
      <w:pPr>
        <w:spacing w:before="300" w:after="120"/>
      </w:pPr>
      <w:r>
        <w:rPr>
          <w:rFonts w:ascii="Arial" w:eastAsia="Arial" w:hAnsi="Arial" w:cs="Arial"/>
          <w:b/>
          <w:bCs/>
          <w:color w:val="1F3864"/>
          <w:sz w:val="24"/>
          <w:szCs w:val="24"/>
        </w:rPr>
        <w:t>Completed map</w:t>
      </w:r>
    </w:p>
    <w:p w14:paraId="77536483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Decision: </w:t>
      </w:r>
      <w:r>
        <w:rPr>
          <w:rFonts w:ascii="Arial" w:eastAsia="Arial" w:hAnsi="Arial" w:cs="Arial"/>
          <w:color w:val="404040"/>
          <w:sz w:val="22"/>
          <w:szCs w:val="22"/>
        </w:rPr>
        <w:t>Should we approve this AI tool for team use?</w:t>
      </w:r>
    </w:p>
    <w:p w14:paraId="5543E468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Decision type: </w:t>
      </w:r>
      <w:r>
        <w:rPr>
          <w:rFonts w:ascii="Arial" w:eastAsia="Arial" w:hAnsi="Arial" w:cs="Arial"/>
          <w:color w:val="404040"/>
          <w:sz w:val="22"/>
          <w:szCs w:val="22"/>
        </w:rPr>
        <w:t>AI / Technology / Risk / Operational</w:t>
      </w:r>
    </w:p>
    <w:p w14:paraId="289E5C80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Context: </w:t>
      </w:r>
      <w:r>
        <w:rPr>
          <w:rFonts w:ascii="Arial" w:eastAsia="Arial" w:hAnsi="Arial" w:cs="Arial"/>
          <w:color w:val="404040"/>
          <w:sz w:val="22"/>
          <w:szCs w:val="22"/>
        </w:rPr>
        <w:t>The team wants to use an AI tool to improve speed, but the workflow, data use, and oversight need to be clear.</w:t>
      </w:r>
    </w:p>
    <w:p w14:paraId="5E4F517F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Escalation trigger: </w:t>
      </w:r>
      <w:r>
        <w:rPr>
          <w:rFonts w:ascii="Arial" w:eastAsia="Arial" w:hAnsi="Arial" w:cs="Arial"/>
          <w:color w:val="404040"/>
          <w:sz w:val="22"/>
          <w:szCs w:val="22"/>
        </w:rPr>
        <w:t>Customer data, financial data, confidential information, automated decisioning, or third-party integration is involved.</w:t>
      </w:r>
    </w:p>
    <w:p w14:paraId="23F65B6A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Communication method: </w:t>
      </w:r>
      <w:r>
        <w:rPr>
          <w:rFonts w:ascii="Arial" w:eastAsia="Arial" w:hAnsi="Arial" w:cs="Arial"/>
          <w:color w:val="404040"/>
          <w:sz w:val="22"/>
          <w:szCs w:val="22"/>
        </w:rPr>
        <w:t>Decision documented in an AI tool register and shared with approved users.</w:t>
      </w:r>
    </w:p>
    <w:p w14:paraId="3D1DC906" w14:textId="77777777" w:rsidR="00FE41C5" w:rsidRDefault="00FE41C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9"/>
        <w:gridCol w:w="900"/>
        <w:gridCol w:w="811"/>
        <w:gridCol w:w="899"/>
        <w:gridCol w:w="4141"/>
      </w:tblGrid>
      <w:tr w:rsidR="00FE41C5" w14:paraId="70F45909" w14:textId="77777777" w:rsidTr="003246E7">
        <w:trPr>
          <w:tblHeader/>
        </w:trPr>
        <w:tc>
          <w:tcPr>
            <w:tcW w:w="2609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5CB03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Role / Function</w:t>
            </w:r>
          </w:p>
        </w:tc>
        <w:tc>
          <w:tcPr>
            <w:tcW w:w="9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3A1824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Decides</w:t>
            </w:r>
          </w:p>
        </w:tc>
        <w:tc>
          <w:tcPr>
            <w:tcW w:w="811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BD060E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Advises</w:t>
            </w:r>
          </w:p>
        </w:tc>
        <w:tc>
          <w:tcPr>
            <w:tcW w:w="899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49E0CFF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Informed</w:t>
            </w:r>
          </w:p>
        </w:tc>
        <w:tc>
          <w:tcPr>
            <w:tcW w:w="4141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5582B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FE41C5" w14:paraId="3623AB41" w14:textId="77777777" w:rsidTr="003246E7">
        <w:tc>
          <w:tcPr>
            <w:tcW w:w="26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8B24A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Business Owner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ACC309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81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C2F74D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96264E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414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8564E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Owns use case and business outcome</w:t>
            </w:r>
          </w:p>
        </w:tc>
      </w:tr>
      <w:tr w:rsidR="00FE41C5" w14:paraId="4E1048E4" w14:textId="77777777" w:rsidTr="003246E7">
        <w:tc>
          <w:tcPr>
            <w:tcW w:w="26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DA9F1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IT / Systems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1D4769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1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495E35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8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EB01A02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414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270DB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Advises on access, integration, and security</w:t>
            </w:r>
          </w:p>
        </w:tc>
      </w:tr>
      <w:tr w:rsidR="00FE41C5" w14:paraId="06EDD8F3" w14:textId="77777777" w:rsidTr="003246E7">
        <w:tc>
          <w:tcPr>
            <w:tcW w:w="26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929AB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Legal / Compliance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5072F6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1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575283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8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052AE8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414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BCC6A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Advises on regulatory, contractual, and data issues</w:t>
            </w:r>
          </w:p>
        </w:tc>
      </w:tr>
      <w:tr w:rsidR="00FE41C5" w14:paraId="354B3444" w14:textId="77777777" w:rsidTr="003246E7">
        <w:tc>
          <w:tcPr>
            <w:tcW w:w="26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89EF8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Finance / Operations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8E76EE0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1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957F09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8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375942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414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67FC69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Advises on cost, workflow, and control impact</w:t>
            </w:r>
          </w:p>
        </w:tc>
      </w:tr>
      <w:tr w:rsidR="00FE41C5" w14:paraId="33793F8B" w14:textId="77777777" w:rsidTr="003246E7">
        <w:tc>
          <w:tcPr>
            <w:tcW w:w="26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0F2AA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End Users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0A350F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1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A23700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8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24B778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414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F4078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 on practical workflow fit</w:t>
            </w:r>
          </w:p>
        </w:tc>
      </w:tr>
      <w:tr w:rsidR="00FE41C5" w14:paraId="26AF69CC" w14:textId="77777777" w:rsidTr="003246E7">
        <w:tc>
          <w:tcPr>
            <w:tcW w:w="26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78C64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Leadership Team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21AA73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1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94DA9C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8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9394E6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414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4098F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Needs visibility into approved tool use</w:t>
            </w:r>
          </w:p>
        </w:tc>
      </w:tr>
    </w:tbl>
    <w:p w14:paraId="327A8F73" w14:textId="77777777" w:rsidR="00FE41C5" w:rsidRDefault="00FE41C5">
      <w:pPr>
        <w:spacing w:after="120"/>
      </w:pPr>
    </w:p>
    <w:p w14:paraId="22DE0E8A" w14:textId="77777777" w:rsidR="00FE41C5" w:rsidRDefault="00000000">
      <w:pPr>
        <w:spacing w:after="160"/>
      </w:pPr>
      <w:r>
        <w:rPr>
          <w:rFonts w:ascii="Arial" w:eastAsia="Arial" w:hAnsi="Arial" w:cs="Arial"/>
          <w:b/>
          <w:bCs/>
          <w:color w:val="1F3864"/>
          <w:sz w:val="22"/>
          <w:szCs w:val="22"/>
        </w:rPr>
        <w:t xml:space="preserve">Why this works: </w:t>
      </w:r>
      <w:r>
        <w:rPr>
          <w:rFonts w:ascii="Arial" w:eastAsia="Arial" w:hAnsi="Arial" w:cs="Arial"/>
          <w:color w:val="404040"/>
          <w:sz w:val="22"/>
          <w:szCs w:val="22"/>
        </w:rPr>
        <w:t>AI adoption is not just a tool decision. It is a workflow, data, accountability, and risk decision.</w:t>
      </w:r>
    </w:p>
    <w:p w14:paraId="2E22A44B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Example 2: Client Scope Change</w:t>
      </w:r>
    </w:p>
    <w:p w14:paraId="020596B5" w14:textId="77777777" w:rsidR="00FE41C5" w:rsidRDefault="00000000">
      <w:pPr>
        <w:spacing w:before="300" w:after="120"/>
      </w:pPr>
      <w:r>
        <w:rPr>
          <w:rFonts w:ascii="Arial" w:eastAsia="Arial" w:hAnsi="Arial" w:cs="Arial"/>
          <w:b/>
          <w:bCs/>
          <w:color w:val="1F3864"/>
          <w:sz w:val="24"/>
          <w:szCs w:val="24"/>
        </w:rPr>
        <w:t>Completed map</w:t>
      </w:r>
    </w:p>
    <w:p w14:paraId="2B735FD8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Decision: </w:t>
      </w:r>
      <w:r>
        <w:rPr>
          <w:rFonts w:ascii="Arial" w:eastAsia="Arial" w:hAnsi="Arial" w:cs="Arial"/>
          <w:color w:val="404040"/>
          <w:sz w:val="22"/>
          <w:szCs w:val="22"/>
        </w:rPr>
        <w:t>Should we approve a client scope change or exception?</w:t>
      </w:r>
    </w:p>
    <w:p w14:paraId="04309CE5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Decision type: </w:t>
      </w:r>
      <w:r>
        <w:rPr>
          <w:rFonts w:ascii="Arial" w:eastAsia="Arial" w:hAnsi="Arial" w:cs="Arial"/>
          <w:color w:val="404040"/>
          <w:sz w:val="22"/>
          <w:szCs w:val="22"/>
        </w:rPr>
        <w:t>Customer / Financial / Operational / Risk</w:t>
      </w:r>
    </w:p>
    <w:p w14:paraId="57FFA2E1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Context: </w:t>
      </w:r>
      <w:r>
        <w:rPr>
          <w:rFonts w:ascii="Arial" w:eastAsia="Arial" w:hAnsi="Arial" w:cs="Arial"/>
          <w:color w:val="404040"/>
          <w:sz w:val="22"/>
          <w:szCs w:val="22"/>
        </w:rPr>
        <w:t>A client request falls outside the original scope, timeline, or pricing model.</w:t>
      </w:r>
    </w:p>
    <w:p w14:paraId="05187998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Escalation trigger: </w:t>
      </w:r>
      <w:r>
        <w:rPr>
          <w:rFonts w:ascii="Arial" w:eastAsia="Arial" w:hAnsi="Arial" w:cs="Arial"/>
          <w:color w:val="404040"/>
          <w:sz w:val="22"/>
          <w:szCs w:val="22"/>
        </w:rPr>
        <w:t>The change affects margin, delivery timeline, team capacity, contract terms, risk exposure, or precedent for future client requests.</w:t>
      </w:r>
    </w:p>
    <w:p w14:paraId="16FD6642" w14:textId="77777777" w:rsidR="00FE41C5" w:rsidRDefault="00000000">
      <w:pPr>
        <w:spacing w:after="120"/>
      </w:pPr>
      <w:r>
        <w:rPr>
          <w:rFonts w:ascii="Arial" w:eastAsia="Arial" w:hAnsi="Arial" w:cs="Arial"/>
          <w:b/>
          <w:bCs/>
          <w:color w:val="404040"/>
          <w:sz w:val="22"/>
          <w:szCs w:val="22"/>
        </w:rPr>
        <w:lastRenderedPageBreak/>
        <w:t xml:space="preserve">Communication method: </w:t>
      </w:r>
      <w:r>
        <w:rPr>
          <w:rFonts w:ascii="Arial" w:eastAsia="Arial" w:hAnsi="Arial" w:cs="Arial"/>
          <w:color w:val="404040"/>
          <w:sz w:val="22"/>
          <w:szCs w:val="22"/>
        </w:rPr>
        <w:t>Decision documented in the client file, shared with delivery team, and reflected in the project plan or change order.</w:t>
      </w:r>
    </w:p>
    <w:p w14:paraId="1248A1A2" w14:textId="77777777" w:rsidR="00FE41C5" w:rsidRDefault="00FE41C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040"/>
        <w:gridCol w:w="1040"/>
        <w:gridCol w:w="1040"/>
        <w:gridCol w:w="3440"/>
      </w:tblGrid>
      <w:tr w:rsidR="00FE41C5" w14:paraId="5B7B28B2" w14:textId="77777777">
        <w:trPr>
          <w:tblHeader/>
        </w:trPr>
        <w:tc>
          <w:tcPr>
            <w:tcW w:w="2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D8B69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Role / Function</w:t>
            </w:r>
          </w:p>
        </w:tc>
        <w:tc>
          <w:tcPr>
            <w:tcW w:w="104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08A0088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Decides</w:t>
            </w:r>
          </w:p>
        </w:tc>
        <w:tc>
          <w:tcPr>
            <w:tcW w:w="104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9431C87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Advises</w:t>
            </w:r>
          </w:p>
        </w:tc>
        <w:tc>
          <w:tcPr>
            <w:tcW w:w="104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EAA2695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Informed</w:t>
            </w:r>
          </w:p>
        </w:tc>
        <w:tc>
          <w:tcPr>
            <w:tcW w:w="344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96FD2B" w14:textId="77777777" w:rsidR="00FE41C5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FE41C5" w14:paraId="7155996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518D8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Account / Client Lead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26EAAF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064213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21882E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205CE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Owns client relationship and final recommendation</w:t>
            </w:r>
          </w:p>
        </w:tc>
      </w:tr>
      <w:tr w:rsidR="00FE41C5" w14:paraId="1A3CFAC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B285C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Finance / Operations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783BC0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98DEA3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A1DB4C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6C268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Advises on margin, capacity, and billing impact</w:t>
            </w:r>
          </w:p>
        </w:tc>
      </w:tr>
      <w:tr w:rsidR="00FE41C5" w14:paraId="5508560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D8CD2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Delivery Lead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C016AC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32C223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4EAA14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FBAA6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Advises on timeline, staffing, and execution risk</w:t>
            </w:r>
          </w:p>
        </w:tc>
      </w:tr>
      <w:tr w:rsidR="00FE41C5" w14:paraId="396C9C3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9680B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Legal / Compliance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79407F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ABFB17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CC689C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3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61EE9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Advises if contract, regulatory, or liability terms are affected</w:t>
            </w:r>
          </w:p>
        </w:tc>
      </w:tr>
      <w:tr w:rsidR="00FE41C5" w14:paraId="1AF9D103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3014B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Executive Sponsor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455D01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0DE97F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CC389D2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3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B3193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Needs visibility if decision affects strategic relationship or margin</w:t>
            </w:r>
          </w:p>
        </w:tc>
      </w:tr>
      <w:tr w:rsidR="00FE41C5" w14:paraId="664660C3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41642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Client Team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66EEB0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DFDAC9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☐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D92CCE" w14:textId="77777777" w:rsidR="00FE41C5" w:rsidRDefault="00000000">
            <w:pPr>
              <w:jc w:val="center"/>
            </w:pPr>
            <w:r>
              <w:rPr>
                <w:rFonts w:ascii="Arial" w:eastAsia="Arial" w:hAnsi="Arial" w:cs="Arial"/>
                <w:color w:val="404040"/>
              </w:rPr>
              <w:t>☑</w:t>
            </w:r>
          </w:p>
        </w:tc>
        <w:tc>
          <w:tcPr>
            <w:tcW w:w="3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8C83C" w14:textId="77777777" w:rsidR="00FE41C5" w:rsidRDefault="00000000">
            <w:r>
              <w:rPr>
                <w:rFonts w:ascii="Arial" w:eastAsia="Arial" w:hAnsi="Arial" w:cs="Arial"/>
                <w:color w:val="404040"/>
              </w:rPr>
              <w:t>Needs clarity on what was approved and what changed</w:t>
            </w:r>
          </w:p>
        </w:tc>
      </w:tr>
    </w:tbl>
    <w:p w14:paraId="34FB172C" w14:textId="77777777" w:rsidR="00FE41C5" w:rsidRDefault="00FE41C5">
      <w:pPr>
        <w:spacing w:after="120"/>
      </w:pPr>
    </w:p>
    <w:p w14:paraId="1FB4AFE7" w14:textId="0CF8C508" w:rsidR="00FE41C5" w:rsidRDefault="00000000">
      <w:pPr>
        <w:spacing w:after="160"/>
      </w:pPr>
      <w:r>
        <w:rPr>
          <w:rFonts w:ascii="Arial" w:eastAsia="Arial" w:hAnsi="Arial" w:cs="Arial"/>
          <w:b/>
          <w:bCs/>
          <w:color w:val="1F3864"/>
          <w:sz w:val="22"/>
          <w:szCs w:val="22"/>
        </w:rPr>
        <w:t xml:space="preserve">Why this works: </w:t>
      </w:r>
      <w:r>
        <w:rPr>
          <w:rFonts w:ascii="Arial" w:eastAsia="Arial" w:hAnsi="Arial" w:cs="Arial"/>
          <w:color w:val="404040"/>
          <w:sz w:val="22"/>
          <w:szCs w:val="22"/>
        </w:rPr>
        <w:t xml:space="preserve">The client lead owns the relationship, but the decision </w:t>
      </w:r>
      <w:proofErr w:type="gramStart"/>
      <w:r w:rsidR="00266C42">
        <w:rPr>
          <w:rFonts w:ascii="Arial" w:eastAsia="Arial" w:hAnsi="Arial" w:cs="Arial"/>
          <w:color w:val="404040"/>
          <w:sz w:val="22"/>
          <w:szCs w:val="22"/>
        </w:rPr>
        <w:t>a</w:t>
      </w:r>
      <w:r w:rsidR="00C8466D">
        <w:rPr>
          <w:rFonts w:ascii="Arial" w:eastAsia="Arial" w:hAnsi="Arial" w:cs="Arial"/>
          <w:color w:val="404040"/>
          <w:sz w:val="22"/>
          <w:szCs w:val="22"/>
        </w:rPr>
        <w:t>ffects</w:t>
      </w:r>
      <w:proofErr w:type="gramEnd"/>
      <w:r>
        <w:rPr>
          <w:rFonts w:ascii="Arial" w:eastAsia="Arial" w:hAnsi="Arial" w:cs="Arial"/>
          <w:color w:val="404040"/>
          <w:sz w:val="22"/>
          <w:szCs w:val="22"/>
        </w:rPr>
        <w:t xml:space="preserve"> delivery, margin, timing, and risk.</w:t>
      </w:r>
    </w:p>
    <w:p w14:paraId="60427BBF" w14:textId="77777777" w:rsidR="00FE41C5" w:rsidRDefault="00000000">
      <w:pPr>
        <w:pBdr>
          <w:bottom w:val="single" w:sz="6" w:space="2" w:color="C9A84C"/>
        </w:pBdr>
        <w:spacing w:before="480" w:after="160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A note on using this</w:t>
      </w:r>
    </w:p>
    <w:p w14:paraId="71922587" w14:textId="77777777" w:rsidR="00FE41C5" w:rsidRDefault="00000000">
      <w:pPr>
        <w:spacing w:after="160"/>
      </w:pPr>
      <w:r>
        <w:rPr>
          <w:rFonts w:ascii="Arial" w:eastAsia="Arial" w:hAnsi="Arial" w:cs="Arial"/>
          <w:color w:val="404040"/>
          <w:sz w:val="22"/>
          <w:szCs w:val="22"/>
        </w:rPr>
        <w:t>The map only works if it lives where the decision happens. Write it down. Put it there. Use it when the decision comes back around. And it will.</w:t>
      </w:r>
    </w:p>
    <w:p w14:paraId="0EB68F67" w14:textId="77777777" w:rsidR="00FE41C5" w:rsidRDefault="00FE41C5">
      <w:pPr>
        <w:spacing w:after="120"/>
      </w:pPr>
    </w:p>
    <w:sectPr w:rsidR="00FE41C5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F4A4" w14:textId="77777777" w:rsidR="00C53D3B" w:rsidRDefault="00C53D3B">
      <w:r>
        <w:separator/>
      </w:r>
    </w:p>
  </w:endnote>
  <w:endnote w:type="continuationSeparator" w:id="0">
    <w:p w14:paraId="324A9151" w14:textId="77777777" w:rsidR="00C53D3B" w:rsidRDefault="00C5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E250" w14:textId="6554AE26" w:rsidR="00FE41C5" w:rsidRDefault="00000000">
    <w:pPr>
      <w:pBdr>
        <w:top w:val="single" w:sz="4" w:space="2" w:color="C9A84C"/>
      </w:pBdr>
      <w:spacing w:before="120"/>
      <w:jc w:val="center"/>
    </w:pPr>
    <w:r>
      <w:rPr>
        <w:rFonts w:ascii="Arial" w:eastAsia="Arial" w:hAnsi="Arial" w:cs="Arial"/>
        <w:color w:val="888888"/>
        <w:sz w:val="18"/>
        <w:szCs w:val="18"/>
      </w:rPr>
      <w:t>The Jordan Factor</w:t>
    </w:r>
    <w:r w:rsidR="00C8466D">
      <w:rPr>
        <w:rFonts w:ascii="Arial" w:eastAsia="Arial" w:hAnsi="Arial" w:cs="Arial"/>
        <w:color w:val="888888"/>
        <w:sz w:val="18"/>
        <w:szCs w:val="18"/>
      </w:rPr>
      <w:t>™ · Structure</w:t>
    </w:r>
    <w:r>
      <w:rPr>
        <w:rFonts w:ascii="Arial" w:eastAsia="Arial" w:hAnsi="Arial" w:cs="Arial"/>
        <w:color w:val="888888"/>
        <w:sz w:val="18"/>
        <w:szCs w:val="18"/>
      </w:rPr>
      <w:t xml:space="preserve"> Intelligence for businesses in motion.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1F3E" w14:textId="77777777" w:rsidR="00C53D3B" w:rsidRDefault="00C53D3B">
      <w:r>
        <w:separator/>
      </w:r>
    </w:p>
  </w:footnote>
  <w:footnote w:type="continuationSeparator" w:id="0">
    <w:p w14:paraId="6D1CE60B" w14:textId="77777777" w:rsidR="00C53D3B" w:rsidRDefault="00C53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978CA"/>
    <w:multiLevelType w:val="hybridMultilevel"/>
    <w:tmpl w:val="6BD8C5F8"/>
    <w:lvl w:ilvl="0" w:tplc="50788682">
      <w:start w:val="1"/>
      <w:numFmt w:val="bullet"/>
      <w:lvlText w:val="●"/>
      <w:lvlJc w:val="left"/>
      <w:pPr>
        <w:ind w:left="720" w:hanging="360"/>
      </w:pPr>
    </w:lvl>
    <w:lvl w:ilvl="1" w:tplc="9342D79A">
      <w:start w:val="1"/>
      <w:numFmt w:val="bullet"/>
      <w:lvlText w:val="○"/>
      <w:lvlJc w:val="left"/>
      <w:pPr>
        <w:ind w:left="1440" w:hanging="360"/>
      </w:pPr>
    </w:lvl>
    <w:lvl w:ilvl="2" w:tplc="A64C2102">
      <w:start w:val="1"/>
      <w:numFmt w:val="bullet"/>
      <w:lvlText w:val="■"/>
      <w:lvlJc w:val="left"/>
      <w:pPr>
        <w:ind w:left="2160" w:hanging="360"/>
      </w:pPr>
    </w:lvl>
    <w:lvl w:ilvl="3" w:tplc="A1468994">
      <w:start w:val="1"/>
      <w:numFmt w:val="bullet"/>
      <w:lvlText w:val="●"/>
      <w:lvlJc w:val="left"/>
      <w:pPr>
        <w:ind w:left="2880" w:hanging="360"/>
      </w:pPr>
    </w:lvl>
    <w:lvl w:ilvl="4" w:tplc="757C7218">
      <w:start w:val="1"/>
      <w:numFmt w:val="bullet"/>
      <w:lvlText w:val="○"/>
      <w:lvlJc w:val="left"/>
      <w:pPr>
        <w:ind w:left="3600" w:hanging="360"/>
      </w:pPr>
    </w:lvl>
    <w:lvl w:ilvl="5" w:tplc="893AF0D0">
      <w:start w:val="1"/>
      <w:numFmt w:val="bullet"/>
      <w:lvlText w:val="■"/>
      <w:lvlJc w:val="left"/>
      <w:pPr>
        <w:ind w:left="4320" w:hanging="360"/>
      </w:pPr>
    </w:lvl>
    <w:lvl w:ilvl="6" w:tplc="DE5E5566">
      <w:start w:val="1"/>
      <w:numFmt w:val="bullet"/>
      <w:lvlText w:val="●"/>
      <w:lvlJc w:val="left"/>
      <w:pPr>
        <w:ind w:left="5040" w:hanging="360"/>
      </w:pPr>
    </w:lvl>
    <w:lvl w:ilvl="7" w:tplc="BB16F45A">
      <w:start w:val="1"/>
      <w:numFmt w:val="bullet"/>
      <w:lvlText w:val="●"/>
      <w:lvlJc w:val="left"/>
      <w:pPr>
        <w:ind w:left="5760" w:hanging="360"/>
      </w:pPr>
    </w:lvl>
    <w:lvl w:ilvl="8" w:tplc="A7643B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AF91DFE"/>
    <w:multiLevelType w:val="hybridMultilevel"/>
    <w:tmpl w:val="986875CC"/>
    <w:lvl w:ilvl="0" w:tplc="72B4EB52">
      <w:start w:val="1"/>
      <w:numFmt w:val="bullet"/>
      <w:lvlText w:val="•"/>
      <w:lvlJc w:val="left"/>
      <w:pPr>
        <w:ind w:left="720" w:hanging="360"/>
      </w:pPr>
    </w:lvl>
    <w:lvl w:ilvl="1" w:tplc="3F9E2564">
      <w:numFmt w:val="decimal"/>
      <w:lvlText w:val=""/>
      <w:lvlJc w:val="left"/>
    </w:lvl>
    <w:lvl w:ilvl="2" w:tplc="EACE8F3A">
      <w:numFmt w:val="decimal"/>
      <w:lvlText w:val=""/>
      <w:lvlJc w:val="left"/>
    </w:lvl>
    <w:lvl w:ilvl="3" w:tplc="40DED9AA">
      <w:numFmt w:val="decimal"/>
      <w:lvlText w:val=""/>
      <w:lvlJc w:val="left"/>
    </w:lvl>
    <w:lvl w:ilvl="4" w:tplc="F4C608F8">
      <w:numFmt w:val="decimal"/>
      <w:lvlText w:val=""/>
      <w:lvlJc w:val="left"/>
    </w:lvl>
    <w:lvl w:ilvl="5" w:tplc="5E0AFD80">
      <w:numFmt w:val="decimal"/>
      <w:lvlText w:val=""/>
      <w:lvlJc w:val="left"/>
    </w:lvl>
    <w:lvl w:ilvl="6" w:tplc="BE64A792">
      <w:numFmt w:val="decimal"/>
      <w:lvlText w:val=""/>
      <w:lvlJc w:val="left"/>
    </w:lvl>
    <w:lvl w:ilvl="7" w:tplc="1BCA6452">
      <w:numFmt w:val="decimal"/>
      <w:lvlText w:val=""/>
      <w:lvlJc w:val="left"/>
    </w:lvl>
    <w:lvl w:ilvl="8" w:tplc="02B891BE">
      <w:numFmt w:val="decimal"/>
      <w:lvlText w:val=""/>
      <w:lvlJc w:val="left"/>
    </w:lvl>
  </w:abstractNum>
  <w:num w:numId="1" w16cid:durableId="6810127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C5"/>
    <w:rsid w:val="0013684E"/>
    <w:rsid w:val="00266C42"/>
    <w:rsid w:val="003246E7"/>
    <w:rsid w:val="00487384"/>
    <w:rsid w:val="005815C4"/>
    <w:rsid w:val="00C53D3B"/>
    <w:rsid w:val="00C8466D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6FB2A6"/>
  <w15:docId w15:val="{C1E4812F-BF46-BC4E-BE51-B0295978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4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66D"/>
  </w:style>
  <w:style w:type="paragraph" w:styleId="Footer">
    <w:name w:val="footer"/>
    <w:basedOn w:val="Normal"/>
    <w:link w:val="FooterChar"/>
    <w:uiPriority w:val="99"/>
    <w:unhideWhenUsed/>
    <w:rsid w:val="00C84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728</Words>
  <Characters>3824</Characters>
  <Application>Microsoft Office Word</Application>
  <DocSecurity>0</DocSecurity>
  <Lines>147</Lines>
  <Paragraphs>116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Aisha Jordan</cp:lastModifiedBy>
  <cp:revision>4</cp:revision>
  <dcterms:created xsi:type="dcterms:W3CDTF">2026-05-25T00:47:00Z</dcterms:created>
  <dcterms:modified xsi:type="dcterms:W3CDTF">2026-05-25T01:10:00Z</dcterms:modified>
</cp:coreProperties>
</file>